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8C" w:rsidRPr="00821C6E" w:rsidRDefault="00CC29F8" w:rsidP="00910239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1C6E">
        <w:rPr>
          <w:rFonts w:ascii="Times New Roman" w:hAnsi="Times New Roman" w:cs="Times New Roman"/>
          <w:b/>
          <w:sz w:val="24"/>
          <w:szCs w:val="24"/>
        </w:rPr>
        <w:t>U</w:t>
      </w:r>
      <w:r w:rsidR="004F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C6E">
        <w:rPr>
          <w:rFonts w:ascii="Times New Roman" w:hAnsi="Times New Roman" w:cs="Times New Roman"/>
          <w:b/>
          <w:sz w:val="24"/>
          <w:szCs w:val="24"/>
        </w:rPr>
        <w:t>Z</w:t>
      </w:r>
      <w:r w:rsidR="004F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C6E">
        <w:rPr>
          <w:rFonts w:ascii="Times New Roman" w:hAnsi="Times New Roman" w:cs="Times New Roman"/>
          <w:b/>
          <w:sz w:val="24"/>
          <w:szCs w:val="24"/>
        </w:rPr>
        <w:t>A</w:t>
      </w:r>
      <w:r w:rsidR="004F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C6E">
        <w:rPr>
          <w:rFonts w:ascii="Times New Roman" w:hAnsi="Times New Roman" w:cs="Times New Roman"/>
          <w:b/>
          <w:sz w:val="24"/>
          <w:szCs w:val="24"/>
        </w:rPr>
        <w:t>S</w:t>
      </w:r>
      <w:r w:rsidR="004F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C6E">
        <w:rPr>
          <w:rFonts w:ascii="Times New Roman" w:hAnsi="Times New Roman" w:cs="Times New Roman"/>
          <w:b/>
          <w:sz w:val="24"/>
          <w:szCs w:val="24"/>
        </w:rPr>
        <w:t>A</w:t>
      </w:r>
      <w:r w:rsidR="004F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C6E">
        <w:rPr>
          <w:rFonts w:ascii="Times New Roman" w:hAnsi="Times New Roman" w:cs="Times New Roman"/>
          <w:b/>
          <w:sz w:val="24"/>
          <w:szCs w:val="24"/>
        </w:rPr>
        <w:t>D</w:t>
      </w:r>
      <w:r w:rsidR="004F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C6E">
        <w:rPr>
          <w:rFonts w:ascii="Times New Roman" w:hAnsi="Times New Roman" w:cs="Times New Roman"/>
          <w:b/>
          <w:sz w:val="24"/>
          <w:szCs w:val="24"/>
        </w:rPr>
        <w:t>N</w:t>
      </w:r>
      <w:r w:rsidR="004F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C6E">
        <w:rPr>
          <w:rFonts w:ascii="Times New Roman" w:hAnsi="Times New Roman" w:cs="Times New Roman"/>
          <w:b/>
          <w:sz w:val="24"/>
          <w:szCs w:val="24"/>
        </w:rPr>
        <w:t>I</w:t>
      </w:r>
      <w:r w:rsidR="004F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C6E">
        <w:rPr>
          <w:rFonts w:ascii="Times New Roman" w:hAnsi="Times New Roman" w:cs="Times New Roman"/>
          <w:b/>
          <w:sz w:val="24"/>
          <w:szCs w:val="24"/>
        </w:rPr>
        <w:t>E</w:t>
      </w:r>
      <w:r w:rsidR="004F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C6E">
        <w:rPr>
          <w:rFonts w:ascii="Times New Roman" w:hAnsi="Times New Roman" w:cs="Times New Roman"/>
          <w:b/>
          <w:sz w:val="24"/>
          <w:szCs w:val="24"/>
        </w:rPr>
        <w:t>N</w:t>
      </w:r>
      <w:r w:rsidR="004F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C6E">
        <w:rPr>
          <w:rFonts w:ascii="Times New Roman" w:hAnsi="Times New Roman" w:cs="Times New Roman"/>
          <w:b/>
          <w:sz w:val="24"/>
          <w:szCs w:val="24"/>
        </w:rPr>
        <w:t>I</w:t>
      </w:r>
      <w:r w:rsidR="004F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C6E">
        <w:rPr>
          <w:rFonts w:ascii="Times New Roman" w:hAnsi="Times New Roman" w:cs="Times New Roman"/>
          <w:b/>
          <w:sz w:val="24"/>
          <w:szCs w:val="24"/>
        </w:rPr>
        <w:t>E</w:t>
      </w:r>
    </w:p>
    <w:p w:rsidR="000B3F41" w:rsidRPr="00821C6E" w:rsidRDefault="000B3F41" w:rsidP="00821C6E">
      <w:pPr>
        <w:pStyle w:val="Akapitzlist"/>
        <w:autoSpaceDE w:val="0"/>
        <w:autoSpaceDN w:val="0"/>
        <w:adjustRightInd w:val="0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33E6" w:rsidRPr="00821C6E" w:rsidRDefault="00F233E6" w:rsidP="001E52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C6E">
        <w:rPr>
          <w:rFonts w:ascii="Times New Roman" w:hAnsi="Times New Roman" w:cs="Times New Roman"/>
          <w:sz w:val="24"/>
          <w:szCs w:val="24"/>
        </w:rPr>
        <w:t xml:space="preserve">W celu ograniczenia oszustw i nadużyć występujących w zakresie podatku od towarów i usług oraz podatków dochodowych proponuje się wprowadzenie obowiązku przekazywania przez podatników dobowych wyciągów z rachunków </w:t>
      </w:r>
      <w:r w:rsidR="002165B8">
        <w:rPr>
          <w:rFonts w:ascii="Times New Roman" w:hAnsi="Times New Roman" w:cs="Times New Roman"/>
          <w:sz w:val="24"/>
          <w:szCs w:val="24"/>
        </w:rPr>
        <w:t xml:space="preserve">bankowych </w:t>
      </w:r>
      <w:r w:rsidRPr="00821C6E">
        <w:rPr>
          <w:rFonts w:ascii="Times New Roman" w:hAnsi="Times New Roman" w:cs="Times New Roman"/>
          <w:sz w:val="24"/>
          <w:szCs w:val="24"/>
        </w:rPr>
        <w:t>Szefowi Krajowej Administracji Skarbowej. Działania te miałyby charakter prewencyjny w zakresie ograniczenia oszustw i nadużyć podatkowych, w tym w szczególności oszustw karuzelowych,  i realizowane byłyby poprzez szybką identyfikację transakcji podejrzanych oraz weryfikację spójności deklarowanych przychodów oraz kosztów z obrotami na rachunku. Przekazywanie dziennych wyciągów z rachunków</w:t>
      </w:r>
      <w:r w:rsidR="002165B8">
        <w:rPr>
          <w:rFonts w:ascii="Times New Roman" w:hAnsi="Times New Roman" w:cs="Times New Roman"/>
          <w:sz w:val="24"/>
          <w:szCs w:val="24"/>
        </w:rPr>
        <w:t xml:space="preserve"> bankowych</w:t>
      </w:r>
      <w:r w:rsidRPr="00821C6E">
        <w:rPr>
          <w:rFonts w:ascii="Times New Roman" w:hAnsi="Times New Roman" w:cs="Times New Roman"/>
          <w:sz w:val="24"/>
          <w:szCs w:val="24"/>
        </w:rPr>
        <w:t xml:space="preserve"> umożliwiłoby szybką reakcję organów podatkowych na niekorzystne zachowania podatników, co uchroniłoby uczciwych podatników od nieuczciwych działań ich kontrahentów. Propozycja przekazywania codziennie wyciągów</w:t>
      </w:r>
      <w:r w:rsidR="004A4496">
        <w:rPr>
          <w:rFonts w:ascii="Times New Roman" w:hAnsi="Times New Roman" w:cs="Times New Roman"/>
          <w:sz w:val="24"/>
          <w:szCs w:val="24"/>
        </w:rPr>
        <w:t xml:space="preserve"> </w:t>
      </w:r>
      <w:r w:rsidRPr="00821C6E">
        <w:rPr>
          <w:rFonts w:ascii="Times New Roman" w:hAnsi="Times New Roman" w:cs="Times New Roman"/>
          <w:sz w:val="24"/>
          <w:szCs w:val="24"/>
        </w:rPr>
        <w:t xml:space="preserve">z rachunków </w:t>
      </w:r>
      <w:r w:rsidR="002165B8">
        <w:rPr>
          <w:rFonts w:ascii="Times New Roman" w:hAnsi="Times New Roman" w:cs="Times New Roman"/>
          <w:sz w:val="24"/>
          <w:szCs w:val="24"/>
        </w:rPr>
        <w:t xml:space="preserve">bankowych </w:t>
      </w:r>
      <w:r w:rsidRPr="00821C6E">
        <w:rPr>
          <w:rFonts w:ascii="Times New Roman" w:hAnsi="Times New Roman" w:cs="Times New Roman"/>
          <w:sz w:val="24"/>
          <w:szCs w:val="24"/>
        </w:rPr>
        <w:t xml:space="preserve">oparta jest na koncepcji JPK_WB na żądanie. </w:t>
      </w:r>
    </w:p>
    <w:p w:rsidR="00F233E6" w:rsidRPr="00821C6E" w:rsidRDefault="00821C6E" w:rsidP="004A449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6E">
        <w:rPr>
          <w:rFonts w:ascii="Times New Roman" w:hAnsi="Times New Roman" w:cs="Times New Roman"/>
          <w:bCs/>
          <w:sz w:val="24"/>
          <w:szCs w:val="24"/>
        </w:rPr>
        <w:t>Podatnicy, których dotyczyłby obowiązek przekazywania wyciągów z rachunków</w:t>
      </w:r>
      <w:r w:rsidR="002165B8">
        <w:rPr>
          <w:rFonts w:ascii="Times New Roman" w:hAnsi="Times New Roman" w:cs="Times New Roman"/>
          <w:bCs/>
          <w:sz w:val="24"/>
          <w:szCs w:val="24"/>
        </w:rPr>
        <w:t xml:space="preserve"> bankowych </w:t>
      </w:r>
      <w:r w:rsidRPr="00821C6E">
        <w:rPr>
          <w:rFonts w:ascii="Times New Roman" w:hAnsi="Times New Roman" w:cs="Times New Roman"/>
          <w:bCs/>
          <w:sz w:val="24"/>
          <w:szCs w:val="24"/>
        </w:rPr>
        <w:t xml:space="preserve"> to osoby prawne, jednostki organizacyjne niemające osobowości prawnej oraz osoby fizyczne będące przedsiębiorcami w rozumieniu ustawy o swobodzie gospodarczej z wyłączeniem mikro przedsiębiorców oraz </w:t>
      </w:r>
      <w:r w:rsidRPr="00821C6E">
        <w:rPr>
          <w:rFonts w:ascii="Times New Roman" w:hAnsi="Times New Roman" w:cs="Times New Roman"/>
          <w:sz w:val="24"/>
          <w:szCs w:val="24"/>
        </w:rPr>
        <w:t>jednostek</w:t>
      </w:r>
      <w:r w:rsidR="00F233E6" w:rsidRPr="00821C6E">
        <w:rPr>
          <w:rFonts w:ascii="Times New Roman" w:hAnsi="Times New Roman" w:cs="Times New Roman"/>
          <w:sz w:val="24"/>
          <w:szCs w:val="24"/>
        </w:rPr>
        <w:t xml:space="preserve"> sektora finansów publicznych, o których mowa w art. 9  ustawy o finansach publicznych.</w:t>
      </w:r>
    </w:p>
    <w:p w:rsidR="00F233E6" w:rsidRPr="00821C6E" w:rsidRDefault="00821C6E" w:rsidP="004A4496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6E">
        <w:rPr>
          <w:rFonts w:ascii="Times New Roman" w:hAnsi="Times New Roman" w:cs="Times New Roman"/>
          <w:sz w:val="24"/>
          <w:szCs w:val="24"/>
        </w:rPr>
        <w:t>W projekcie ustawy zaproponowano, aby o</w:t>
      </w:r>
      <w:r w:rsidR="00F233E6" w:rsidRPr="00821C6E">
        <w:rPr>
          <w:rFonts w:ascii="Times New Roman" w:hAnsi="Times New Roman" w:cs="Times New Roman"/>
          <w:bCs/>
          <w:sz w:val="24"/>
          <w:szCs w:val="24"/>
        </w:rPr>
        <w:t xml:space="preserve">bowiązek przekazywania wyciągów </w:t>
      </w:r>
      <w:r w:rsidR="004A4496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F233E6" w:rsidRPr="00821C6E">
        <w:rPr>
          <w:rFonts w:ascii="Times New Roman" w:hAnsi="Times New Roman" w:cs="Times New Roman"/>
          <w:bCs/>
          <w:sz w:val="24"/>
          <w:szCs w:val="24"/>
        </w:rPr>
        <w:t>z rachunków</w:t>
      </w:r>
      <w:r w:rsidR="008B24DD">
        <w:rPr>
          <w:rFonts w:ascii="Times New Roman" w:hAnsi="Times New Roman" w:cs="Times New Roman"/>
          <w:bCs/>
          <w:sz w:val="24"/>
          <w:szCs w:val="24"/>
        </w:rPr>
        <w:t xml:space="preserve"> bankowych</w:t>
      </w:r>
      <w:r w:rsidR="00F233E6" w:rsidRPr="00821C6E">
        <w:rPr>
          <w:rFonts w:ascii="Times New Roman" w:hAnsi="Times New Roman" w:cs="Times New Roman"/>
          <w:bCs/>
          <w:sz w:val="24"/>
          <w:szCs w:val="24"/>
        </w:rPr>
        <w:t xml:space="preserve"> realiz</w:t>
      </w:r>
      <w:r w:rsidRPr="00821C6E">
        <w:rPr>
          <w:rFonts w:ascii="Times New Roman" w:hAnsi="Times New Roman" w:cs="Times New Roman"/>
          <w:bCs/>
          <w:sz w:val="24"/>
          <w:szCs w:val="24"/>
        </w:rPr>
        <w:t>owany był</w:t>
      </w:r>
      <w:r w:rsidR="00F233E6" w:rsidRPr="00821C6E">
        <w:rPr>
          <w:rFonts w:ascii="Times New Roman" w:hAnsi="Times New Roman" w:cs="Times New Roman"/>
          <w:bCs/>
          <w:sz w:val="24"/>
          <w:szCs w:val="24"/>
        </w:rPr>
        <w:t>:</w:t>
      </w:r>
    </w:p>
    <w:p w:rsidR="00F233E6" w:rsidRPr="00821C6E" w:rsidRDefault="00F233E6" w:rsidP="00821C6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6E">
        <w:rPr>
          <w:rFonts w:ascii="Times New Roman" w:hAnsi="Times New Roman" w:cs="Times New Roman"/>
          <w:sz w:val="24"/>
          <w:szCs w:val="24"/>
        </w:rPr>
        <w:t xml:space="preserve">za pośrednictwem banku lub spółdzielczej kasy oszczędnościowo-rozliczeniowej - </w:t>
      </w:r>
      <w:r w:rsidR="004A44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1C6E">
        <w:rPr>
          <w:rFonts w:ascii="Times New Roman" w:hAnsi="Times New Roman" w:cs="Times New Roman"/>
          <w:sz w:val="24"/>
          <w:szCs w:val="24"/>
        </w:rPr>
        <w:t>w przypadku podatników posiadających rachunek</w:t>
      </w:r>
      <w:r w:rsidR="002165B8">
        <w:rPr>
          <w:rFonts w:ascii="Times New Roman" w:hAnsi="Times New Roman" w:cs="Times New Roman"/>
          <w:sz w:val="24"/>
          <w:szCs w:val="24"/>
        </w:rPr>
        <w:t xml:space="preserve"> bankowy</w:t>
      </w:r>
      <w:r w:rsidRPr="00821C6E">
        <w:rPr>
          <w:rFonts w:ascii="Times New Roman" w:hAnsi="Times New Roman" w:cs="Times New Roman"/>
          <w:sz w:val="24"/>
          <w:szCs w:val="24"/>
        </w:rPr>
        <w:t xml:space="preserve"> w banku posiadającym adres siedziby lub oddziału na obszarze Rzeczypospolitej Polskiej lub </w:t>
      </w:r>
      <w:r w:rsidR="002165B8">
        <w:rPr>
          <w:rFonts w:ascii="Times New Roman" w:hAnsi="Times New Roman" w:cs="Times New Roman"/>
          <w:sz w:val="24"/>
          <w:szCs w:val="24"/>
        </w:rPr>
        <w:t xml:space="preserve">rachunek w </w:t>
      </w:r>
      <w:r w:rsidRPr="00821C6E">
        <w:rPr>
          <w:rFonts w:ascii="Times New Roman" w:hAnsi="Times New Roman" w:cs="Times New Roman"/>
          <w:sz w:val="24"/>
          <w:szCs w:val="24"/>
        </w:rPr>
        <w:t xml:space="preserve">spółdzielczej kasie oszczędnościowo-kredytowej.; </w:t>
      </w:r>
    </w:p>
    <w:p w:rsidR="00F233E6" w:rsidRPr="00821C6E" w:rsidRDefault="00F233E6" w:rsidP="00821C6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6E">
        <w:rPr>
          <w:rFonts w:ascii="Times New Roman" w:hAnsi="Times New Roman" w:cs="Times New Roman"/>
          <w:sz w:val="24"/>
          <w:szCs w:val="24"/>
        </w:rPr>
        <w:t>bezpośrednio przez podatnika – w przypadku podatników posiadających rachunek bankowy w banku posiadającym adres siedziby lub oddziału poza obszarem  Rzeczypospolitej Polskiej.</w:t>
      </w:r>
    </w:p>
    <w:p w:rsidR="008B24DD" w:rsidRDefault="009136C5" w:rsidP="002165B8">
      <w:pPr>
        <w:pStyle w:val="NormalnyWeb"/>
        <w:ind w:firstLine="360"/>
        <w:jc w:val="both"/>
        <w:rPr>
          <w:rStyle w:val="Ppogrubienie"/>
          <w:rFonts w:ascii="Times" w:eastAsiaTheme="minorEastAsia" w:hAnsi="Times" w:cs="Arial"/>
          <w:b w:val="0"/>
          <w:szCs w:val="20"/>
        </w:rPr>
      </w:pPr>
      <w:r>
        <w:rPr>
          <w:rStyle w:val="Ppogrubienie"/>
          <w:b w:val="0"/>
        </w:rPr>
        <w:t>Projekt</w:t>
      </w:r>
      <w:r w:rsidR="000150AE">
        <w:rPr>
          <w:rStyle w:val="Ppogrubienie"/>
          <w:b w:val="0"/>
        </w:rPr>
        <w:t xml:space="preserve"> ustawy przewiduje</w:t>
      </w:r>
      <w:r w:rsidR="008B24DD">
        <w:rPr>
          <w:rStyle w:val="Ppogrubienie"/>
          <w:b w:val="0"/>
        </w:rPr>
        <w:t>, aby wyciąg bankowy zawierał:</w:t>
      </w:r>
    </w:p>
    <w:p w:rsidR="008B24DD" w:rsidRDefault="008B24DD" w:rsidP="002165B8">
      <w:pPr>
        <w:pStyle w:val="NormalnyWeb"/>
        <w:ind w:firstLine="360"/>
        <w:jc w:val="both"/>
        <w:rPr>
          <w:rStyle w:val="Ppogrubienie"/>
          <w:rFonts w:ascii="Times" w:eastAsiaTheme="minorEastAsia" w:hAnsi="Times" w:cs="Arial"/>
          <w:b w:val="0"/>
          <w:szCs w:val="20"/>
        </w:rPr>
      </w:pPr>
      <w:r>
        <w:rPr>
          <w:rStyle w:val="Ppogrubienie"/>
          <w:b w:val="0"/>
        </w:rPr>
        <w:t>1) dane nadawcy i odbiorcy płatniczego (nazwa i adres oraz NIP lub REGON, jeśli są dostępne);</w:t>
      </w:r>
    </w:p>
    <w:p w:rsidR="008B24DD" w:rsidRDefault="008B24DD" w:rsidP="00E717C8">
      <w:pPr>
        <w:pStyle w:val="NormalnyWeb"/>
        <w:spacing w:line="360" w:lineRule="auto"/>
        <w:ind w:firstLine="360"/>
        <w:jc w:val="both"/>
        <w:rPr>
          <w:rStyle w:val="Ppogrubienie"/>
          <w:b w:val="0"/>
        </w:rPr>
      </w:pPr>
      <w:r>
        <w:rPr>
          <w:rStyle w:val="Ppogrubienie"/>
          <w:b w:val="0"/>
        </w:rPr>
        <w:t xml:space="preserve">2) numer rachunku nadawcy i rachunku obcego; </w:t>
      </w:r>
    </w:p>
    <w:p w:rsidR="008B24DD" w:rsidRDefault="008B24DD" w:rsidP="00E717C8">
      <w:pPr>
        <w:pStyle w:val="NormalnyWeb"/>
        <w:spacing w:line="360" w:lineRule="auto"/>
        <w:ind w:firstLine="360"/>
        <w:jc w:val="both"/>
        <w:rPr>
          <w:rStyle w:val="Ppogrubienie"/>
          <w:b w:val="0"/>
        </w:rPr>
      </w:pPr>
      <w:r>
        <w:rPr>
          <w:rStyle w:val="Ppogrubienie"/>
          <w:b w:val="0"/>
        </w:rPr>
        <w:lastRenderedPageBreak/>
        <w:t xml:space="preserve">3) datę i czas obciążenia rachunku nadawcy lub datę i czas dokonania wpłaty gotówkowej; </w:t>
      </w:r>
    </w:p>
    <w:p w:rsidR="008B24DD" w:rsidRDefault="008B24DD">
      <w:pPr>
        <w:pStyle w:val="NormalnyWeb"/>
        <w:spacing w:line="360" w:lineRule="auto"/>
        <w:ind w:firstLine="360"/>
        <w:jc w:val="both"/>
        <w:rPr>
          <w:rStyle w:val="Ppogrubienie"/>
          <w:rFonts w:ascii="Times" w:eastAsiaTheme="minorEastAsia" w:hAnsi="Times" w:cs="Arial"/>
          <w:b w:val="0"/>
          <w:szCs w:val="20"/>
        </w:rPr>
      </w:pPr>
      <w:r>
        <w:rPr>
          <w:rStyle w:val="Ppogrubienie"/>
          <w:b w:val="0"/>
        </w:rPr>
        <w:t>4) kwotę i walutę;</w:t>
      </w:r>
    </w:p>
    <w:p w:rsidR="008B24DD" w:rsidRDefault="008B24DD">
      <w:pPr>
        <w:pStyle w:val="NormalnyWeb"/>
        <w:spacing w:line="360" w:lineRule="auto"/>
        <w:ind w:firstLine="360"/>
        <w:jc w:val="both"/>
        <w:rPr>
          <w:rStyle w:val="Ppogrubienie"/>
          <w:rFonts w:ascii="Times" w:eastAsiaTheme="minorEastAsia" w:hAnsi="Times" w:cs="Arial"/>
          <w:b w:val="0"/>
          <w:szCs w:val="20"/>
        </w:rPr>
      </w:pPr>
      <w:r>
        <w:rPr>
          <w:rStyle w:val="Ppogrubienie"/>
          <w:b w:val="0"/>
        </w:rPr>
        <w:t>5) tytuł i opis zlecenia płatniczego;</w:t>
      </w:r>
    </w:p>
    <w:p w:rsidR="008B24DD" w:rsidRDefault="008B24DD">
      <w:pPr>
        <w:pStyle w:val="NormalnyWeb"/>
        <w:spacing w:line="360" w:lineRule="auto"/>
        <w:ind w:firstLine="360"/>
        <w:jc w:val="both"/>
        <w:rPr>
          <w:rStyle w:val="Ppogrubienie"/>
          <w:rFonts w:ascii="Times" w:eastAsiaTheme="minorEastAsia" w:hAnsi="Times" w:cs="Arial"/>
          <w:b w:val="0"/>
          <w:szCs w:val="20"/>
        </w:rPr>
      </w:pPr>
      <w:r>
        <w:rPr>
          <w:rStyle w:val="Ppogrubienie"/>
          <w:b w:val="0"/>
        </w:rPr>
        <w:t>6) saldo rachunku przedsiębiorcy po realizacji zlecenia płatniczego – w przypadku danych przekazywanych przez bank lub spółdzielczą kasę oszczędnościowo – kredytową prowadzącą rachunek przedsiębiorcy;</w:t>
      </w:r>
    </w:p>
    <w:p w:rsidR="008B24DD" w:rsidRDefault="008B24DD">
      <w:pPr>
        <w:pStyle w:val="NormalnyWeb"/>
        <w:spacing w:line="360" w:lineRule="auto"/>
        <w:ind w:firstLine="360"/>
        <w:jc w:val="both"/>
        <w:rPr>
          <w:rStyle w:val="Ppogrubienie"/>
          <w:rFonts w:ascii="Times" w:eastAsiaTheme="minorEastAsia" w:hAnsi="Times" w:cs="Arial"/>
          <w:b w:val="0"/>
          <w:szCs w:val="20"/>
        </w:rPr>
      </w:pPr>
      <w:r>
        <w:rPr>
          <w:rStyle w:val="Ppogrubienie"/>
          <w:b w:val="0"/>
        </w:rPr>
        <w:t xml:space="preserve">7) informację o numerze rachunku wirtualnego utworzonego w celu identyfikacji masowych płatności, jeżeli zlecenie płatnicze dotyczy uznania takiego rachunku – </w:t>
      </w:r>
      <w:r w:rsidR="00E717C8">
        <w:rPr>
          <w:rStyle w:val="Ppogrubienie"/>
          <w:b w:val="0"/>
        </w:rPr>
        <w:t xml:space="preserve">                       </w:t>
      </w:r>
      <w:r>
        <w:rPr>
          <w:rStyle w:val="Ppogrubienie"/>
          <w:b w:val="0"/>
        </w:rPr>
        <w:t xml:space="preserve">w przypadku danych przekazywanych przez bank lub spółdzielczą kasę oszczędnościowo </w:t>
      </w:r>
      <w:r w:rsidR="00E717C8">
        <w:rPr>
          <w:rStyle w:val="Ppogrubienie"/>
          <w:b w:val="0"/>
        </w:rPr>
        <w:t>–</w:t>
      </w:r>
      <w:r>
        <w:rPr>
          <w:rStyle w:val="Ppogrubienie"/>
          <w:b w:val="0"/>
        </w:rPr>
        <w:t xml:space="preserve"> kredytową</w:t>
      </w:r>
      <w:r w:rsidR="00E717C8">
        <w:rPr>
          <w:rStyle w:val="Ppogrubienie"/>
          <w:b w:val="0"/>
        </w:rPr>
        <w:t xml:space="preserve"> prowadzącą uznawany rachunek przedsiębiorcy.</w:t>
      </w:r>
    </w:p>
    <w:p w:rsidR="009068FA" w:rsidRDefault="00E717C8">
      <w:pPr>
        <w:pStyle w:val="NormalnyWeb"/>
        <w:spacing w:line="360" w:lineRule="auto"/>
        <w:ind w:firstLine="360"/>
        <w:jc w:val="both"/>
        <w:rPr>
          <w:rStyle w:val="Ppogrubienie"/>
          <w:rFonts w:ascii="Times" w:eastAsiaTheme="minorEastAsia" w:hAnsi="Times" w:cs="Arial"/>
          <w:b w:val="0"/>
          <w:szCs w:val="20"/>
        </w:rPr>
      </w:pPr>
      <w:r>
        <w:rPr>
          <w:rStyle w:val="Ppogrubienie"/>
          <w:b w:val="0"/>
        </w:rPr>
        <w:t xml:space="preserve">Ponadto projekt ustawy przewiduje, iż wyciągi z rachunków bankowych są przekazywane za okresy dobowe w terminie do końca dnia następującego po każdej kolejnej dobie </w:t>
      </w:r>
      <w:r w:rsidR="009068FA">
        <w:rPr>
          <w:rStyle w:val="Ppogrubienie"/>
          <w:b w:val="0"/>
        </w:rPr>
        <w:t xml:space="preserve">                           </w:t>
      </w:r>
      <w:r>
        <w:rPr>
          <w:rStyle w:val="Ppogrubienie"/>
          <w:b w:val="0"/>
        </w:rPr>
        <w:t>z wyłączeniem sobót i dni ustawowo wolnych od pracy w postaci elektronicznej odpowiadającej strukturze logicznej</w:t>
      </w:r>
      <w:r w:rsidR="009068FA">
        <w:rPr>
          <w:rStyle w:val="Ppogrubienie"/>
          <w:b w:val="0"/>
        </w:rPr>
        <w:t>, o której mowa w art. 193a § 2 Ordynacji podatkowej  na zasadach dotyczących przesyłania ksiąg podatkowych lub ich części określonych                            w przepisach wydanych na podstawie art. 193a § 3 Ordynacji podatkowej.</w:t>
      </w:r>
    </w:p>
    <w:p w:rsidR="00F233E6" w:rsidRDefault="009136C5" w:rsidP="004A4496">
      <w:pPr>
        <w:pStyle w:val="NormalnyWeb"/>
        <w:spacing w:line="360" w:lineRule="auto"/>
        <w:ind w:firstLine="360"/>
        <w:jc w:val="both"/>
        <w:rPr>
          <w:iCs/>
        </w:rPr>
      </w:pPr>
      <w:r>
        <w:rPr>
          <w:rStyle w:val="Ppogrubienie"/>
          <w:b w:val="0"/>
        </w:rPr>
        <w:t>Jednocześnie w</w:t>
      </w:r>
      <w:r w:rsidR="00821C6E" w:rsidRPr="00821C6E">
        <w:rPr>
          <w:rStyle w:val="Ppogrubienie"/>
          <w:b w:val="0"/>
        </w:rPr>
        <w:t xml:space="preserve"> </w:t>
      </w:r>
      <w:r w:rsidR="009068FA">
        <w:rPr>
          <w:rStyle w:val="Ppogrubienie"/>
          <w:b w:val="0"/>
        </w:rPr>
        <w:t>projekcie ustawy proponuje się, aby bank lub spółdzielcza kasa oszczędnościowa – kredytowa, przekazywała wyciągi z rachunków bankowych za pośrednictwem systemu teleinformatycznego izby rozliczeniowej. Z kolei</w:t>
      </w:r>
      <w:r w:rsidR="00821C6E" w:rsidRPr="00821C6E">
        <w:rPr>
          <w:rStyle w:val="Ppogrubienie"/>
          <w:b w:val="0"/>
        </w:rPr>
        <w:t xml:space="preserve"> izba rozliczeniowa upoważniona byłaby przetwarza</w:t>
      </w:r>
      <w:r w:rsidR="009068FA">
        <w:rPr>
          <w:rStyle w:val="Ppogrubienie"/>
          <w:b w:val="0"/>
        </w:rPr>
        <w:t>ć</w:t>
      </w:r>
      <w:r w:rsidR="00821C6E" w:rsidRPr="00821C6E">
        <w:rPr>
          <w:rStyle w:val="Ppogrubienie"/>
          <w:b w:val="0"/>
        </w:rPr>
        <w:t xml:space="preserve"> dane</w:t>
      </w:r>
      <w:r w:rsidR="009068FA">
        <w:rPr>
          <w:rStyle w:val="Ppogrubienie"/>
          <w:b w:val="0"/>
        </w:rPr>
        <w:t xml:space="preserve"> z wyciągów z rachunków bankowych</w:t>
      </w:r>
      <w:r w:rsidR="00821C6E" w:rsidRPr="00821C6E">
        <w:rPr>
          <w:iCs/>
        </w:rPr>
        <w:t xml:space="preserve">, w tym dane stanowiące tajemnicę bankową w rozumieniu ustawy – Prawo bankowe i tajemnicę zawodową w rozumieniu ustawy o spółdzielczych kasach oszczędnościowo-kredytowych. </w:t>
      </w:r>
    </w:p>
    <w:p w:rsidR="00821C6E" w:rsidRDefault="00910239" w:rsidP="00910239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B24DD">
        <w:rPr>
          <w:rFonts w:ascii="Times New Roman" w:hAnsi="Times New Roman" w:cs="Times New Roman"/>
          <w:sz w:val="24"/>
          <w:szCs w:val="24"/>
        </w:rPr>
        <w:t xml:space="preserve">projekcie </w:t>
      </w:r>
      <w:r>
        <w:rPr>
          <w:rFonts w:ascii="Times New Roman" w:hAnsi="Times New Roman" w:cs="Times New Roman"/>
          <w:sz w:val="24"/>
          <w:szCs w:val="24"/>
        </w:rPr>
        <w:t>ustaw</w:t>
      </w:r>
      <w:r w:rsidR="008B24D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zaproponowano również zmianę brzmienia art. 181 Ordynacji podatkowej poprzez dodanie, że dowodami w post</w:t>
      </w:r>
      <w:r w:rsidR="001E528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powaniu podatkowym są również dokumenty zgromadzone w toku działalności analitycznej</w:t>
      </w:r>
      <w:r w:rsidR="002165B8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rajowej Administracji Skarbowej. Powyższe działanie ma na celu wyeliminowanie wątpliwości i negowania przez podatników wykorzystywania przez organy skarbowe dokumentów zgromadzonych w ramach czynności analitycznych. </w:t>
      </w:r>
    </w:p>
    <w:p w:rsidR="00910239" w:rsidRPr="00910239" w:rsidRDefault="00910239" w:rsidP="00910239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239" w:rsidRPr="00910239" w:rsidRDefault="00910239" w:rsidP="00910239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239">
        <w:rPr>
          <w:rFonts w:ascii="Times New Roman" w:hAnsi="Times New Roman" w:cs="Times New Roman"/>
          <w:sz w:val="24"/>
          <w:szCs w:val="24"/>
        </w:rPr>
        <w:t>Dodatkowo w ustawie zaproponowano zmianę brzmienia art. 293 Ordynacji podatkowej w zakresie wyłączenia stosowania przepisów o tajemnicy skarbowej do danych dotyczących udost</w:t>
      </w:r>
      <w:r w:rsidR="001E5283">
        <w:rPr>
          <w:rFonts w:ascii="Times New Roman" w:hAnsi="Times New Roman" w:cs="Times New Roman"/>
          <w:sz w:val="24"/>
          <w:szCs w:val="24"/>
        </w:rPr>
        <w:t>ę</w:t>
      </w:r>
      <w:r w:rsidRPr="00910239">
        <w:rPr>
          <w:rFonts w:ascii="Times New Roman" w:hAnsi="Times New Roman" w:cs="Times New Roman"/>
          <w:sz w:val="24"/>
          <w:szCs w:val="24"/>
        </w:rPr>
        <w:t>pnienia kontrahentowi</w:t>
      </w:r>
      <w:r w:rsidR="001E5283">
        <w:rPr>
          <w:rFonts w:ascii="Times New Roman" w:hAnsi="Times New Roman" w:cs="Times New Roman"/>
          <w:sz w:val="24"/>
          <w:szCs w:val="24"/>
        </w:rPr>
        <w:t xml:space="preserve"> podatnika</w:t>
      </w:r>
      <w:r w:rsidRPr="00910239">
        <w:rPr>
          <w:rFonts w:ascii="Times New Roman" w:hAnsi="Times New Roman" w:cs="Times New Roman"/>
          <w:sz w:val="24"/>
          <w:szCs w:val="24"/>
        </w:rPr>
        <w:t xml:space="preserve"> informacji o:</w:t>
      </w:r>
    </w:p>
    <w:p w:rsidR="00910239" w:rsidRPr="00910239" w:rsidRDefault="00910239" w:rsidP="00910239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239">
        <w:rPr>
          <w:rFonts w:ascii="Times New Roman" w:hAnsi="Times New Roman" w:cs="Times New Roman"/>
          <w:sz w:val="24"/>
          <w:szCs w:val="24"/>
        </w:rPr>
        <w:t>niezłożeniu przez podatnika deklaracji lub innych dokumentów, do których składania są zobowiązani podatnicy na podstawie przepisów ustaw podatkowych;</w:t>
      </w:r>
    </w:p>
    <w:p w:rsidR="00910239" w:rsidRPr="00910239" w:rsidRDefault="00910239" w:rsidP="00910239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239">
        <w:rPr>
          <w:rFonts w:ascii="Times New Roman" w:hAnsi="Times New Roman" w:cs="Times New Roman"/>
          <w:sz w:val="24"/>
          <w:szCs w:val="24"/>
        </w:rPr>
        <w:t>braku ujęcia przez podatnika w deklaracji lub innych dokumentach, do których składania obowiązani są podatnicy, czynności do których był on zobowiązany na podstawie przepisów ustaw podatkowych;</w:t>
      </w:r>
    </w:p>
    <w:p w:rsidR="00910239" w:rsidRDefault="00910239" w:rsidP="00910239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0239">
        <w:rPr>
          <w:rFonts w:ascii="Times New Roman" w:hAnsi="Times New Roman" w:cs="Times New Roman"/>
          <w:sz w:val="24"/>
          <w:szCs w:val="24"/>
        </w:rPr>
        <w:t xml:space="preserve">3)  </w:t>
      </w:r>
      <w:r w:rsidRPr="00910239">
        <w:rPr>
          <w:rFonts w:ascii="Times New Roman" w:hAnsi="Times New Roman" w:cs="Times New Roman"/>
          <w:sz w:val="24"/>
          <w:szCs w:val="24"/>
        </w:rPr>
        <w:tab/>
        <w:t>braku zapłaty podatku wynikającego z deklaracji lub innych dokumentów składanych p</w:t>
      </w:r>
      <w:r w:rsidR="002E4938">
        <w:rPr>
          <w:rFonts w:ascii="Times New Roman" w:hAnsi="Times New Roman" w:cs="Times New Roman"/>
          <w:sz w:val="24"/>
          <w:szCs w:val="24"/>
        </w:rPr>
        <w:t>rzez podatników.</w:t>
      </w:r>
    </w:p>
    <w:p w:rsidR="002E4938" w:rsidRPr="002E4938" w:rsidRDefault="002E4938" w:rsidP="004A44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ww. przepisu ma celu </w:t>
      </w:r>
      <w:r w:rsidR="0007112E">
        <w:rPr>
          <w:rFonts w:ascii="Times New Roman" w:hAnsi="Times New Roman" w:cs="Times New Roman"/>
          <w:sz w:val="24"/>
          <w:szCs w:val="24"/>
        </w:rPr>
        <w:t>stworzenie</w:t>
      </w:r>
      <w:r>
        <w:rPr>
          <w:rFonts w:ascii="Times New Roman" w:hAnsi="Times New Roman" w:cs="Times New Roman"/>
          <w:sz w:val="24"/>
          <w:szCs w:val="24"/>
        </w:rPr>
        <w:t xml:space="preserve"> mechanizmu ochrony</w:t>
      </w:r>
      <w:r w:rsidRPr="002E4938">
        <w:rPr>
          <w:rFonts w:ascii="Times New Roman" w:hAnsi="Times New Roman" w:cs="Times New Roman"/>
          <w:sz w:val="24"/>
          <w:szCs w:val="24"/>
        </w:rPr>
        <w:t xml:space="preserve"> podatników przed poniesieniem konsekwencji nieuczciwości kontrahentów </w:t>
      </w:r>
      <w:r>
        <w:rPr>
          <w:rFonts w:ascii="Times New Roman" w:hAnsi="Times New Roman" w:cs="Times New Roman"/>
          <w:sz w:val="24"/>
          <w:szCs w:val="24"/>
        </w:rPr>
        <w:t>poprzez</w:t>
      </w:r>
      <w:r w:rsidRPr="002E4938">
        <w:rPr>
          <w:rFonts w:ascii="Times New Roman" w:hAnsi="Times New Roman" w:cs="Times New Roman"/>
          <w:sz w:val="24"/>
          <w:szCs w:val="24"/>
        </w:rPr>
        <w:t>:</w:t>
      </w:r>
    </w:p>
    <w:p w:rsidR="002E4938" w:rsidRPr="00821C6E" w:rsidRDefault="002E4938" w:rsidP="002E4938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821C6E">
        <w:rPr>
          <w:rFonts w:ascii="Times New Roman" w:hAnsi="Times New Roman" w:cs="Times New Roman"/>
          <w:sz w:val="24"/>
          <w:szCs w:val="24"/>
        </w:rPr>
        <w:t>ostrzegani</w:t>
      </w:r>
      <w:r w:rsidR="001E5283">
        <w:rPr>
          <w:rFonts w:ascii="Times New Roman" w:hAnsi="Times New Roman" w:cs="Times New Roman"/>
          <w:sz w:val="24"/>
          <w:szCs w:val="24"/>
        </w:rPr>
        <w:t>e</w:t>
      </w:r>
      <w:r w:rsidRPr="00821C6E">
        <w:rPr>
          <w:rFonts w:ascii="Times New Roman" w:hAnsi="Times New Roman" w:cs="Times New Roman"/>
          <w:sz w:val="24"/>
          <w:szCs w:val="24"/>
        </w:rPr>
        <w:t xml:space="preserve"> w przypadku „podejrzanych” transakcji,</w:t>
      </w:r>
    </w:p>
    <w:p w:rsidR="002E4938" w:rsidRDefault="002E4938" w:rsidP="002E4938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6E">
        <w:rPr>
          <w:rFonts w:ascii="Times New Roman" w:hAnsi="Times New Roman" w:cs="Times New Roman"/>
          <w:sz w:val="24"/>
          <w:szCs w:val="24"/>
        </w:rPr>
        <w:t>zawiadamiania elektronicznie podatn</w:t>
      </w:r>
      <w:r>
        <w:rPr>
          <w:rFonts w:ascii="Times New Roman" w:hAnsi="Times New Roman" w:cs="Times New Roman"/>
          <w:sz w:val="24"/>
          <w:szCs w:val="24"/>
        </w:rPr>
        <w:t xml:space="preserve">ików o stwierdzonych </w:t>
      </w:r>
      <w:r w:rsidRPr="00821C6E">
        <w:rPr>
          <w:rFonts w:ascii="Times New Roman" w:hAnsi="Times New Roman" w:cs="Times New Roman"/>
          <w:sz w:val="24"/>
          <w:szCs w:val="24"/>
        </w:rPr>
        <w:t>nieprawidłowościach.</w:t>
      </w:r>
    </w:p>
    <w:p w:rsidR="002E4938" w:rsidRDefault="002E4938" w:rsidP="002E49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938" w:rsidRDefault="00F233E6" w:rsidP="004A4496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C6E">
        <w:rPr>
          <w:rFonts w:ascii="Times New Roman" w:hAnsi="Times New Roman" w:cs="Times New Roman"/>
          <w:sz w:val="24"/>
          <w:szCs w:val="24"/>
        </w:rPr>
        <w:t>Wprowadzenie proponowanego rozwiązania wprowadza korzyści zarówno dla podatników, jak i budżetu państwa.</w:t>
      </w:r>
    </w:p>
    <w:p w:rsidR="00821C6E" w:rsidRPr="00821C6E" w:rsidRDefault="00821C6E" w:rsidP="00821C6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33E6" w:rsidRPr="00821C6E" w:rsidRDefault="00F233E6" w:rsidP="00821C6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1C6E">
        <w:rPr>
          <w:rFonts w:ascii="Times New Roman" w:hAnsi="Times New Roman" w:cs="Times New Roman"/>
          <w:sz w:val="24"/>
          <w:szCs w:val="24"/>
          <w:u w:val="single"/>
        </w:rPr>
        <w:t>Korzyści dla podatników:</w:t>
      </w:r>
    </w:p>
    <w:p w:rsidR="00F233E6" w:rsidRPr="00821C6E" w:rsidRDefault="00F233E6" w:rsidP="004A449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6E">
        <w:rPr>
          <w:rFonts w:ascii="Times New Roman" w:hAnsi="Times New Roman" w:cs="Times New Roman"/>
          <w:sz w:val="24"/>
          <w:szCs w:val="24"/>
        </w:rPr>
        <w:t>Szybka identyfikacja nieuczciwych kontrahentów.</w:t>
      </w:r>
    </w:p>
    <w:p w:rsidR="00F233E6" w:rsidRPr="00821C6E" w:rsidRDefault="00F233E6" w:rsidP="004A449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6E">
        <w:rPr>
          <w:rFonts w:ascii="Times New Roman" w:hAnsi="Times New Roman" w:cs="Times New Roman"/>
          <w:sz w:val="24"/>
          <w:szCs w:val="24"/>
        </w:rPr>
        <w:t>Ochrona podatników przed poniesieniem konsekwencji nieuczciwości kontrahentów poprzez wprowadzenie mechanizmów:</w:t>
      </w:r>
    </w:p>
    <w:p w:rsidR="00F233E6" w:rsidRPr="00821C6E" w:rsidRDefault="00F233E6" w:rsidP="004A4496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6E">
        <w:rPr>
          <w:rFonts w:ascii="Times New Roman" w:hAnsi="Times New Roman" w:cs="Times New Roman"/>
          <w:sz w:val="24"/>
          <w:szCs w:val="24"/>
        </w:rPr>
        <w:t>szybkiego ostrzegania w przypadku „podejrzanych” transakcji,</w:t>
      </w:r>
    </w:p>
    <w:p w:rsidR="00F233E6" w:rsidRPr="00821C6E" w:rsidRDefault="00F233E6" w:rsidP="004A4496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6E">
        <w:rPr>
          <w:rFonts w:ascii="Times New Roman" w:hAnsi="Times New Roman" w:cs="Times New Roman"/>
          <w:sz w:val="24"/>
          <w:szCs w:val="24"/>
        </w:rPr>
        <w:t>zawiadamiania elektronicznie podatn</w:t>
      </w:r>
      <w:r w:rsidR="00821C6E">
        <w:rPr>
          <w:rFonts w:ascii="Times New Roman" w:hAnsi="Times New Roman" w:cs="Times New Roman"/>
          <w:sz w:val="24"/>
          <w:szCs w:val="24"/>
        </w:rPr>
        <w:t xml:space="preserve">ików o stwierdzonych </w:t>
      </w:r>
      <w:r w:rsidRPr="00821C6E">
        <w:rPr>
          <w:rFonts w:ascii="Times New Roman" w:hAnsi="Times New Roman" w:cs="Times New Roman"/>
          <w:sz w:val="24"/>
          <w:szCs w:val="24"/>
        </w:rPr>
        <w:t>nieprawidłowościach.</w:t>
      </w:r>
    </w:p>
    <w:p w:rsidR="00F233E6" w:rsidRPr="00821C6E" w:rsidRDefault="00F233E6" w:rsidP="004A449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6E">
        <w:rPr>
          <w:rFonts w:ascii="Times New Roman" w:hAnsi="Times New Roman" w:cs="Times New Roman"/>
          <w:sz w:val="24"/>
          <w:szCs w:val="24"/>
        </w:rPr>
        <w:t xml:space="preserve">Ograniczenie kontroli </w:t>
      </w:r>
      <w:r w:rsidR="00821C6E">
        <w:rPr>
          <w:rFonts w:ascii="Times New Roman" w:hAnsi="Times New Roman" w:cs="Times New Roman"/>
          <w:sz w:val="24"/>
          <w:szCs w:val="24"/>
        </w:rPr>
        <w:t xml:space="preserve">podatkowych tylko i wyłączenie </w:t>
      </w:r>
      <w:r w:rsidRPr="00821C6E">
        <w:rPr>
          <w:rFonts w:ascii="Times New Roman" w:hAnsi="Times New Roman" w:cs="Times New Roman"/>
          <w:sz w:val="24"/>
          <w:szCs w:val="24"/>
        </w:rPr>
        <w:t>do podatników, u których zidentyfikowano nieprawidłowości w transakcjach pomiędzy podmiotami.</w:t>
      </w:r>
    </w:p>
    <w:p w:rsidR="00F233E6" w:rsidRPr="00821C6E" w:rsidRDefault="00F233E6" w:rsidP="004A449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6E">
        <w:rPr>
          <w:rFonts w:ascii="Times New Roman" w:hAnsi="Times New Roman" w:cs="Times New Roman"/>
          <w:sz w:val="24"/>
          <w:szCs w:val="24"/>
        </w:rPr>
        <w:t xml:space="preserve">Skrócenie czasy weryfikacji deklaracji w przypadku zwrotów (szybsze uzyskiwanie zwrotów). </w:t>
      </w:r>
    </w:p>
    <w:p w:rsidR="00821C6E" w:rsidRPr="00821C6E" w:rsidRDefault="00821C6E" w:rsidP="004A449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1C6E">
        <w:rPr>
          <w:rFonts w:ascii="Times New Roman" w:hAnsi="Times New Roman"/>
          <w:sz w:val="24"/>
          <w:szCs w:val="24"/>
        </w:rPr>
        <w:lastRenderedPageBreak/>
        <w:t>Zwolnienie podatników z obowiązku dostarczania do urzędów skarbowych dokumentów potwierdzających zapłacenie podatku naliczonego w przypadku chęci uzyskania zwrotu podatku VAT w przyspieszonym terminie.</w:t>
      </w:r>
    </w:p>
    <w:p w:rsidR="00821C6E" w:rsidRPr="00821C6E" w:rsidRDefault="00821C6E" w:rsidP="004A449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1C6E">
        <w:rPr>
          <w:rFonts w:ascii="Times New Roman" w:hAnsi="Times New Roman"/>
          <w:sz w:val="24"/>
          <w:szCs w:val="24"/>
        </w:rPr>
        <w:t xml:space="preserve">Zmniejszenie liczby kontroli podatkowych oraz kontroli </w:t>
      </w:r>
      <w:proofErr w:type="spellStart"/>
      <w:r w:rsidRPr="00821C6E">
        <w:rPr>
          <w:rFonts w:ascii="Times New Roman" w:hAnsi="Times New Roman"/>
          <w:sz w:val="24"/>
          <w:szCs w:val="24"/>
        </w:rPr>
        <w:t>celno</w:t>
      </w:r>
      <w:proofErr w:type="spellEnd"/>
      <w:r w:rsidRPr="00821C6E">
        <w:rPr>
          <w:rFonts w:ascii="Times New Roman" w:hAnsi="Times New Roman"/>
          <w:sz w:val="24"/>
          <w:szCs w:val="24"/>
        </w:rPr>
        <w:t xml:space="preserve"> – skarbowych.</w:t>
      </w:r>
    </w:p>
    <w:p w:rsidR="00821C6E" w:rsidRPr="00821C6E" w:rsidRDefault="00821C6E" w:rsidP="004A449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1C6E">
        <w:rPr>
          <w:rFonts w:ascii="Times New Roman" w:hAnsi="Times New Roman"/>
          <w:sz w:val="24"/>
          <w:szCs w:val="24"/>
        </w:rPr>
        <w:t xml:space="preserve">Elimanacja z rynku nieuczciwej konkurencji cenowej bazującej na oszustwach podatkowych. </w:t>
      </w:r>
    </w:p>
    <w:p w:rsidR="00821C6E" w:rsidRPr="00821C6E" w:rsidRDefault="00821C6E" w:rsidP="00821C6E">
      <w:pPr>
        <w:pStyle w:val="Akapitzlist"/>
        <w:tabs>
          <w:tab w:val="left" w:pos="371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1C6E">
        <w:rPr>
          <w:rFonts w:ascii="Times New Roman" w:hAnsi="Times New Roman"/>
          <w:sz w:val="24"/>
          <w:szCs w:val="24"/>
        </w:rPr>
        <w:tab/>
      </w:r>
    </w:p>
    <w:p w:rsidR="00821C6E" w:rsidRPr="00821C6E" w:rsidRDefault="00821C6E" w:rsidP="00821C6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21C6E">
        <w:rPr>
          <w:rFonts w:ascii="Times New Roman" w:hAnsi="Times New Roman"/>
          <w:sz w:val="24"/>
          <w:szCs w:val="24"/>
          <w:u w:val="single"/>
        </w:rPr>
        <w:t>Korzyści dla budżetu państwa:</w:t>
      </w:r>
    </w:p>
    <w:p w:rsidR="00821C6E" w:rsidRPr="00821C6E" w:rsidRDefault="00821C6E" w:rsidP="00821C6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1C6E">
        <w:rPr>
          <w:rFonts w:ascii="Times New Roman" w:eastAsia="Times New Roman" w:hAnsi="Times New Roman"/>
          <w:sz w:val="24"/>
          <w:szCs w:val="24"/>
        </w:rPr>
        <w:t>Zwiększenie wpływów podatkowych na skutek minimalizacji luki podatkowej.</w:t>
      </w:r>
    </w:p>
    <w:p w:rsidR="00821C6E" w:rsidRPr="00821C6E" w:rsidRDefault="00821C6E" w:rsidP="00821C6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1C6E">
        <w:rPr>
          <w:rFonts w:ascii="Times New Roman" w:eastAsia="Times New Roman" w:hAnsi="Times New Roman"/>
          <w:sz w:val="24"/>
          <w:szCs w:val="24"/>
        </w:rPr>
        <w:t xml:space="preserve">Możliwość szybszego wykrywania potencjalnych nieprawidłowości w przestrzeganiu przepisów prawa podatkowego i reagowanie na nie w czasie rzeczywistym. </w:t>
      </w:r>
    </w:p>
    <w:p w:rsidR="00821C6E" w:rsidRPr="00821C6E" w:rsidRDefault="00821C6E" w:rsidP="00821C6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1C6E">
        <w:rPr>
          <w:rFonts w:ascii="Times New Roman" w:eastAsia="Times New Roman" w:hAnsi="Times New Roman"/>
          <w:sz w:val="24"/>
          <w:szCs w:val="24"/>
        </w:rPr>
        <w:t xml:space="preserve">Istotne skrócenie czas kontroli podatkowych, </w:t>
      </w:r>
      <w:proofErr w:type="spellStart"/>
      <w:r w:rsidRPr="00821C6E">
        <w:rPr>
          <w:rFonts w:ascii="Times New Roman" w:eastAsia="Times New Roman" w:hAnsi="Times New Roman"/>
          <w:sz w:val="24"/>
          <w:szCs w:val="24"/>
        </w:rPr>
        <w:t>celno</w:t>
      </w:r>
      <w:proofErr w:type="spellEnd"/>
      <w:r w:rsidRPr="00821C6E">
        <w:rPr>
          <w:rFonts w:ascii="Times New Roman" w:eastAsia="Times New Roman" w:hAnsi="Times New Roman"/>
          <w:sz w:val="24"/>
          <w:szCs w:val="24"/>
        </w:rPr>
        <w:t xml:space="preserve"> – skarbowych oraz czynności sprawdzających. </w:t>
      </w:r>
    </w:p>
    <w:p w:rsidR="00821C6E" w:rsidRDefault="00821C6E" w:rsidP="00821C6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1C6E">
        <w:rPr>
          <w:rFonts w:ascii="Times New Roman" w:eastAsia="Times New Roman" w:hAnsi="Times New Roman"/>
          <w:sz w:val="24"/>
          <w:szCs w:val="24"/>
        </w:rPr>
        <w:t>Ograniczenie oszustw i nadużyć występujących przed</w:t>
      </w:r>
      <w:r w:rsidR="001E5283">
        <w:rPr>
          <w:rFonts w:ascii="Times New Roman" w:eastAsia="Times New Roman" w:hAnsi="Times New Roman"/>
          <w:sz w:val="24"/>
          <w:szCs w:val="24"/>
        </w:rPr>
        <w:t>e</w:t>
      </w:r>
      <w:r w:rsidRPr="00821C6E">
        <w:rPr>
          <w:rFonts w:ascii="Times New Roman" w:eastAsia="Times New Roman" w:hAnsi="Times New Roman"/>
          <w:sz w:val="24"/>
          <w:szCs w:val="24"/>
        </w:rPr>
        <w:t xml:space="preserve"> wszystkim w podatku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821C6E">
        <w:rPr>
          <w:rFonts w:ascii="Times New Roman" w:eastAsia="Times New Roman" w:hAnsi="Times New Roman"/>
          <w:sz w:val="24"/>
          <w:szCs w:val="24"/>
        </w:rPr>
        <w:t xml:space="preserve">od towarów i usług - identyfikacja „szybkich płatności”, które wskazują na wysokie ryzyko oszustw w zakresie podatku od towarów i usług. </w:t>
      </w:r>
    </w:p>
    <w:p w:rsidR="00821C6E" w:rsidRPr="004A4496" w:rsidRDefault="00821C6E" w:rsidP="004A449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96">
        <w:rPr>
          <w:rFonts w:ascii="Times New Roman" w:eastAsia="Times New Roman" w:hAnsi="Times New Roman"/>
          <w:sz w:val="24"/>
          <w:szCs w:val="24"/>
        </w:rPr>
        <w:t>Zwiększenie skuteczności egzekucji należności podatkowych.</w:t>
      </w:r>
    </w:p>
    <w:p w:rsidR="002E4938" w:rsidRDefault="002E4938" w:rsidP="002E4938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938" w:rsidRPr="002E4938" w:rsidRDefault="002E4938" w:rsidP="002E4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 się, aby przepisy ustawy weszły w życie z dniem 1 września 2017 r.</w:t>
      </w:r>
    </w:p>
    <w:p w:rsidR="002E4938" w:rsidRPr="00821C6E" w:rsidRDefault="002E4938" w:rsidP="002E4938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EFF" w:rsidRPr="00821C6E" w:rsidRDefault="00574EFF" w:rsidP="00821C6E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ustawy nie spowoduje zwiększenia wydatków budżetu </w:t>
      </w:r>
      <w:r w:rsidR="001E528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21C6E">
        <w:rPr>
          <w:rFonts w:ascii="Times New Roman" w:eastAsia="Times New Roman" w:hAnsi="Times New Roman" w:cs="Times New Roman"/>
          <w:sz w:val="24"/>
          <w:szCs w:val="24"/>
          <w:lang w:eastAsia="pl-PL"/>
        </w:rPr>
        <w:t>aństwa.</w:t>
      </w:r>
    </w:p>
    <w:p w:rsidR="00574EFF" w:rsidRPr="00821C6E" w:rsidRDefault="00574EFF" w:rsidP="00821C6E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6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ustawy nie powoduje negatywnych skutków w budżetach jednostek samorządu terytorialnego.</w:t>
      </w:r>
    </w:p>
    <w:p w:rsidR="00451502" w:rsidRPr="00821C6E" w:rsidRDefault="00574EFF" w:rsidP="00821C6E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6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ustawy jest zgodny z prawem Unii Europejskiej.</w:t>
      </w:r>
    </w:p>
    <w:sectPr w:rsidR="00451502" w:rsidRPr="0082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292"/>
    <w:multiLevelType w:val="hybridMultilevel"/>
    <w:tmpl w:val="CCB4CA3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413ED1"/>
    <w:multiLevelType w:val="hybridMultilevel"/>
    <w:tmpl w:val="2DC2EC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0578C"/>
    <w:multiLevelType w:val="hybridMultilevel"/>
    <w:tmpl w:val="B00C5DA6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8821CF"/>
    <w:multiLevelType w:val="hybridMultilevel"/>
    <w:tmpl w:val="695A13A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B975F3C"/>
    <w:multiLevelType w:val="hybridMultilevel"/>
    <w:tmpl w:val="1AD26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842"/>
    <w:multiLevelType w:val="hybridMultilevel"/>
    <w:tmpl w:val="FE4416E2"/>
    <w:lvl w:ilvl="0" w:tplc="0415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1A8D586C"/>
    <w:multiLevelType w:val="hybridMultilevel"/>
    <w:tmpl w:val="2144B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5C67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14996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94667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3241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B267C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16136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3C150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12C77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6396F"/>
    <w:multiLevelType w:val="hybridMultilevel"/>
    <w:tmpl w:val="2B4C57E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59322A"/>
    <w:multiLevelType w:val="hybridMultilevel"/>
    <w:tmpl w:val="1A0A46BE"/>
    <w:lvl w:ilvl="0" w:tplc="94AE3CBA">
      <w:start w:val="1"/>
      <w:numFmt w:val="lowerLetter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D2C2F2F"/>
    <w:multiLevelType w:val="hybridMultilevel"/>
    <w:tmpl w:val="DA92A03A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99D04C6"/>
    <w:multiLevelType w:val="hybridMultilevel"/>
    <w:tmpl w:val="BA500EBC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A7307FF"/>
    <w:multiLevelType w:val="hybridMultilevel"/>
    <w:tmpl w:val="8638AA8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0D036BE"/>
    <w:multiLevelType w:val="hybridMultilevel"/>
    <w:tmpl w:val="9C74BF96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48E65807"/>
    <w:multiLevelType w:val="hybridMultilevel"/>
    <w:tmpl w:val="91C0FA12"/>
    <w:lvl w:ilvl="0" w:tplc="34CA9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CCD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F7ABF4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62767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D2862C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0C992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02F2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BC321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A466C8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1723B"/>
    <w:multiLevelType w:val="hybridMultilevel"/>
    <w:tmpl w:val="133EB2D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2967B6C"/>
    <w:multiLevelType w:val="hybridMultilevel"/>
    <w:tmpl w:val="2144B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5C67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14996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94667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3241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B267C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16136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3C150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12C77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E02C92"/>
    <w:multiLevelType w:val="hybridMultilevel"/>
    <w:tmpl w:val="1AD26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15C59"/>
    <w:multiLevelType w:val="hybridMultilevel"/>
    <w:tmpl w:val="1AD26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47092"/>
    <w:multiLevelType w:val="hybridMultilevel"/>
    <w:tmpl w:val="B24ED3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6ED63ED"/>
    <w:multiLevelType w:val="hybridMultilevel"/>
    <w:tmpl w:val="79F2BA7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C890AA3"/>
    <w:multiLevelType w:val="hybridMultilevel"/>
    <w:tmpl w:val="81C4B3FA"/>
    <w:lvl w:ilvl="0" w:tplc="0415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21">
    <w:nsid w:val="6EF61B50"/>
    <w:multiLevelType w:val="hybridMultilevel"/>
    <w:tmpl w:val="DCC06BBA"/>
    <w:lvl w:ilvl="0" w:tplc="47700914">
      <w:start w:val="1"/>
      <w:numFmt w:val="decimal"/>
      <w:lvlText w:val="%1)"/>
      <w:lvlJc w:val="left"/>
      <w:pPr>
        <w:ind w:left="150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7949369F"/>
    <w:multiLevelType w:val="hybridMultilevel"/>
    <w:tmpl w:val="6D82A0EE"/>
    <w:lvl w:ilvl="0" w:tplc="0415000D">
      <w:start w:val="1"/>
      <w:numFmt w:val="bullet"/>
      <w:lvlText w:val=""/>
      <w:lvlJc w:val="left"/>
      <w:pPr>
        <w:ind w:left="16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3">
    <w:nsid w:val="7ED91946"/>
    <w:multiLevelType w:val="hybridMultilevel"/>
    <w:tmpl w:val="9ABEEC9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7"/>
  </w:num>
  <w:num w:numId="5">
    <w:abstractNumId w:val="22"/>
  </w:num>
  <w:num w:numId="6">
    <w:abstractNumId w:val="19"/>
  </w:num>
  <w:num w:numId="7">
    <w:abstractNumId w:val="5"/>
  </w:num>
  <w:num w:numId="8">
    <w:abstractNumId w:val="23"/>
  </w:num>
  <w:num w:numId="9">
    <w:abstractNumId w:val="10"/>
  </w:num>
  <w:num w:numId="10">
    <w:abstractNumId w:val="12"/>
  </w:num>
  <w:num w:numId="11">
    <w:abstractNumId w:val="1"/>
  </w:num>
  <w:num w:numId="12">
    <w:abstractNumId w:val="18"/>
  </w:num>
  <w:num w:numId="13">
    <w:abstractNumId w:val="0"/>
  </w:num>
  <w:num w:numId="14">
    <w:abstractNumId w:val="20"/>
  </w:num>
  <w:num w:numId="15">
    <w:abstractNumId w:val="3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8C"/>
    <w:rsid w:val="000150AE"/>
    <w:rsid w:val="0005110F"/>
    <w:rsid w:val="0007112E"/>
    <w:rsid w:val="00091801"/>
    <w:rsid w:val="000B3F41"/>
    <w:rsid w:val="001B01AC"/>
    <w:rsid w:val="001C178C"/>
    <w:rsid w:val="001E5283"/>
    <w:rsid w:val="002165B8"/>
    <w:rsid w:val="002618FC"/>
    <w:rsid w:val="002E4938"/>
    <w:rsid w:val="00305E80"/>
    <w:rsid w:val="003962B7"/>
    <w:rsid w:val="003C3020"/>
    <w:rsid w:val="004025A7"/>
    <w:rsid w:val="00451502"/>
    <w:rsid w:val="004A4496"/>
    <w:rsid w:val="004B3E0A"/>
    <w:rsid w:val="004F143D"/>
    <w:rsid w:val="00543EF3"/>
    <w:rsid w:val="00574EFF"/>
    <w:rsid w:val="005C0D9C"/>
    <w:rsid w:val="006638DE"/>
    <w:rsid w:val="00701B75"/>
    <w:rsid w:val="00711140"/>
    <w:rsid w:val="00727AB5"/>
    <w:rsid w:val="00740F06"/>
    <w:rsid w:val="00813078"/>
    <w:rsid w:val="00821C6E"/>
    <w:rsid w:val="0084420C"/>
    <w:rsid w:val="008B24DD"/>
    <w:rsid w:val="008D67E5"/>
    <w:rsid w:val="008F727B"/>
    <w:rsid w:val="00900E4B"/>
    <w:rsid w:val="009068FA"/>
    <w:rsid w:val="00910239"/>
    <w:rsid w:val="009136C5"/>
    <w:rsid w:val="00921E74"/>
    <w:rsid w:val="00926D84"/>
    <w:rsid w:val="00975ED6"/>
    <w:rsid w:val="00987F6B"/>
    <w:rsid w:val="009F0795"/>
    <w:rsid w:val="00A34A89"/>
    <w:rsid w:val="00A41FDD"/>
    <w:rsid w:val="00A719B0"/>
    <w:rsid w:val="00A942DE"/>
    <w:rsid w:val="00AA40A4"/>
    <w:rsid w:val="00AB1FE1"/>
    <w:rsid w:val="00AB5102"/>
    <w:rsid w:val="00AF60B1"/>
    <w:rsid w:val="00AF7A2A"/>
    <w:rsid w:val="00B00402"/>
    <w:rsid w:val="00B364C1"/>
    <w:rsid w:val="00CC29F8"/>
    <w:rsid w:val="00CC5348"/>
    <w:rsid w:val="00CF26F2"/>
    <w:rsid w:val="00D05173"/>
    <w:rsid w:val="00D5799D"/>
    <w:rsid w:val="00D91588"/>
    <w:rsid w:val="00D93B98"/>
    <w:rsid w:val="00E15FFF"/>
    <w:rsid w:val="00E31B60"/>
    <w:rsid w:val="00E717C8"/>
    <w:rsid w:val="00EA3EA3"/>
    <w:rsid w:val="00EC19CD"/>
    <w:rsid w:val="00EC7EA9"/>
    <w:rsid w:val="00F13C10"/>
    <w:rsid w:val="00F233E6"/>
    <w:rsid w:val="00F2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78C"/>
    <w:pPr>
      <w:ind w:left="720"/>
      <w:contextualSpacing/>
    </w:pPr>
  </w:style>
  <w:style w:type="table" w:styleId="Tabela-Siatka">
    <w:name w:val="Table Grid"/>
    <w:basedOn w:val="Standardowy"/>
    <w:uiPriority w:val="39"/>
    <w:rsid w:val="001C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1C178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ED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21C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821C6E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78C"/>
    <w:pPr>
      <w:ind w:left="720"/>
      <w:contextualSpacing/>
    </w:pPr>
  </w:style>
  <w:style w:type="table" w:styleId="Tabela-Siatka">
    <w:name w:val="Table Grid"/>
    <w:basedOn w:val="Standardowy"/>
    <w:uiPriority w:val="39"/>
    <w:rsid w:val="001C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1C178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ED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21C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821C6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7299-4767-431A-B1D0-3CCF9BC7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 Renata</dc:creator>
  <cp:lastModifiedBy>Buraczyński Mariusz</cp:lastModifiedBy>
  <cp:revision>2</cp:revision>
  <cp:lastPrinted>2017-01-20T13:53:00Z</cp:lastPrinted>
  <dcterms:created xsi:type="dcterms:W3CDTF">2017-05-23T07:15:00Z</dcterms:created>
  <dcterms:modified xsi:type="dcterms:W3CDTF">2017-05-23T07:15:00Z</dcterms:modified>
</cp:coreProperties>
</file>